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056A9" w14:textId="77777777" w:rsidR="00C16DAE" w:rsidRPr="00C16DAE" w:rsidRDefault="00407CDF" w:rsidP="00C16DAE">
      <w:pPr>
        <w:shd w:val="clear" w:color="auto" w:fill="444E57"/>
        <w:spacing w:after="0" w:line="240" w:lineRule="auto"/>
        <w:rPr>
          <w:rFonts w:ascii="Titillium Web" w:eastAsia="Times New Roman" w:hAnsi="Titillium Web" w:cs="Helvetica"/>
          <w:vanish/>
          <w:color w:val="FFFFFF"/>
          <w:sz w:val="19"/>
          <w:szCs w:val="19"/>
          <w:u w:val="single"/>
          <w:lang w:eastAsia="it-IT"/>
        </w:rPr>
      </w:pPr>
      <w:hyperlink r:id="rId4" w:anchor="loginSection" w:history="1">
        <w:r w:rsidR="00C16DAE" w:rsidRPr="00C16DAE">
          <w:rPr>
            <w:rFonts w:ascii="Titillium Web" w:eastAsia="Times New Roman" w:hAnsi="Titillium Web" w:cs="Helvetica"/>
            <w:vanish/>
            <w:color w:val="000000"/>
            <w:sz w:val="19"/>
            <w:szCs w:val="19"/>
            <w:lang w:eastAsia="it-IT"/>
          </w:rPr>
          <w:t>Vai alla login</w:t>
        </w:r>
      </w:hyperlink>
      <w:r w:rsidR="00C16DAE" w:rsidRPr="00C16DAE">
        <w:rPr>
          <w:rFonts w:ascii="Titillium Web" w:eastAsia="Times New Roman" w:hAnsi="Titillium Web" w:cs="Helvetica"/>
          <w:vanish/>
          <w:color w:val="FFFFFF"/>
          <w:sz w:val="19"/>
          <w:szCs w:val="19"/>
          <w:u w:val="single"/>
          <w:lang w:eastAsia="it-IT"/>
        </w:rPr>
        <w:t xml:space="preserve"> </w:t>
      </w:r>
      <w:hyperlink r:id="rId5" w:anchor="content" w:history="1">
        <w:r w:rsidR="00C16DAE" w:rsidRPr="00C16DAE">
          <w:rPr>
            <w:rFonts w:ascii="Titillium Web" w:eastAsia="Times New Roman" w:hAnsi="Titillium Web" w:cs="Helvetica"/>
            <w:vanish/>
            <w:color w:val="000000"/>
            <w:sz w:val="19"/>
            <w:szCs w:val="19"/>
            <w:lang w:eastAsia="it-IT"/>
          </w:rPr>
          <w:t>Vai ai contenuti</w:t>
        </w:r>
      </w:hyperlink>
      <w:r w:rsidR="00C16DAE" w:rsidRPr="00C16DAE">
        <w:rPr>
          <w:rFonts w:ascii="Titillium Web" w:eastAsia="Times New Roman" w:hAnsi="Titillium Web" w:cs="Helvetica"/>
          <w:vanish/>
          <w:color w:val="FFFFFF"/>
          <w:sz w:val="19"/>
          <w:szCs w:val="19"/>
          <w:u w:val="single"/>
          <w:lang w:eastAsia="it-IT"/>
        </w:rPr>
        <w:t xml:space="preserve"> </w:t>
      </w:r>
    </w:p>
    <w:p w14:paraId="144983BD" w14:textId="77777777" w:rsidR="00C16DAE" w:rsidRPr="00C16DAE" w:rsidRDefault="00407CDF" w:rsidP="00C16DAE">
      <w:pPr>
        <w:shd w:val="clear" w:color="auto" w:fill="00264D"/>
        <w:spacing w:after="188" w:line="240" w:lineRule="auto"/>
        <w:rPr>
          <w:rFonts w:ascii="Titillium Web" w:eastAsia="Times New Roman" w:hAnsi="Titillium Web" w:cs="Helvetica"/>
          <w:vanish/>
          <w:color w:val="FFFFFF"/>
          <w:spacing w:val="2"/>
          <w:sz w:val="29"/>
          <w:szCs w:val="29"/>
          <w:lang w:eastAsia="it-IT"/>
        </w:rPr>
      </w:pPr>
      <w:hyperlink r:id="rId6" w:tooltip="Sito della Presidenza del Consiglio dei Ministri" w:history="1">
        <w:r w:rsidR="00C16DAE" w:rsidRPr="00C16DAE">
          <w:rPr>
            <w:rFonts w:ascii="Titillium Web" w:eastAsia="Times New Roman" w:hAnsi="Titillium Web" w:cs="Helvetica"/>
            <w:b/>
            <w:bCs/>
            <w:vanish/>
            <w:color w:val="000000"/>
            <w:spacing w:val="2"/>
            <w:sz w:val="29"/>
            <w:szCs w:val="29"/>
            <w:lang w:eastAsia="it-IT"/>
          </w:rPr>
          <w:t>Governo Italiano</w:t>
        </w:r>
        <w:r w:rsidR="00C16DAE" w:rsidRPr="00C16DAE">
          <w:rPr>
            <w:rFonts w:ascii="Titillium Web" w:eastAsia="Times New Roman" w:hAnsi="Titillium Web" w:cs="Helvetica"/>
            <w:vanish/>
            <w:color w:val="000000"/>
            <w:spacing w:val="2"/>
            <w:sz w:val="29"/>
            <w:szCs w:val="29"/>
            <w:lang w:eastAsia="it-IT"/>
          </w:rPr>
          <w:t xml:space="preserve"> Presidenza del Consiglio dei Ministri</w:t>
        </w:r>
      </w:hyperlink>
    </w:p>
    <w:p w14:paraId="0051A615" w14:textId="6D080EFA" w:rsidR="00C16DAE" w:rsidRPr="00C16DAE" w:rsidRDefault="00745072" w:rsidP="00C16DAE">
      <w:pPr>
        <w:shd w:val="clear" w:color="auto" w:fill="FFFFFF"/>
        <w:spacing w:before="30" w:after="75" w:line="240" w:lineRule="auto"/>
        <w:outlineLvl w:val="1"/>
        <w:rPr>
          <w:rFonts w:ascii="inherit" w:eastAsia="Times New Roman" w:hAnsi="inherit" w:cs="Helvetica"/>
          <w:b/>
          <w:bCs/>
          <w:color w:val="FFFFFF"/>
          <w:spacing w:val="-2"/>
          <w:kern w:val="36"/>
          <w:lang w:eastAsia="it-IT"/>
        </w:rPr>
      </w:pPr>
      <w:r>
        <w:rPr>
          <w:rFonts w:ascii="inherit" w:eastAsia="Times New Roman" w:hAnsi="inherit" w:cs="Helvetica"/>
          <w:b/>
          <w:bCs/>
          <w:color w:val="FFFFFF"/>
          <w:spacing w:val="-2"/>
          <w:kern w:val="36"/>
          <w:lang w:eastAsia="it-IT"/>
        </w:rPr>
        <w:t>s</w:t>
      </w:r>
    </w:p>
    <w:p w14:paraId="575D1858" w14:textId="22F5C634" w:rsidR="00C16DAE" w:rsidRPr="00C16DAE" w:rsidRDefault="00B370CD" w:rsidP="00C16DAE">
      <w:pPr>
        <w:spacing w:after="0" w:line="240" w:lineRule="auto"/>
        <w:rPr>
          <w:rFonts w:ascii="Titillium Web" w:eastAsia="Times New Roman" w:hAnsi="Titillium Web" w:cs="Helvetica"/>
          <w:color w:val="333333"/>
          <w:sz w:val="24"/>
          <w:szCs w:val="24"/>
          <w:lang w:eastAsia="it-IT"/>
        </w:rPr>
      </w:pPr>
      <w:r>
        <w:rPr>
          <w:rFonts w:ascii="Titillium Web" w:eastAsia="Times New Roman" w:hAnsi="Titillium Web" w:cs="Helvetica"/>
          <w:noProof/>
          <w:color w:val="333333"/>
          <w:sz w:val="24"/>
          <w:szCs w:val="24"/>
          <w:lang w:eastAsia="it-IT"/>
        </w:rPr>
        <w:drawing>
          <wp:inline distT="0" distB="0" distL="0" distR="0" wp14:anchorId="02D1A642" wp14:editId="7935E096">
            <wp:extent cx="6120765" cy="1981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6DAE" w:rsidRPr="00C16DAE">
        <w:rPr>
          <w:rFonts w:ascii="Titillium Web" w:eastAsia="Times New Roman" w:hAnsi="Titillium Web" w:cs="Helvetica"/>
          <w:color w:val="333333"/>
          <w:sz w:val="24"/>
          <w:szCs w:val="24"/>
          <w:lang w:eastAsia="it-IT"/>
        </w:rPr>
        <w:br w:type="textWrapping" w:clear="all"/>
      </w:r>
    </w:p>
    <w:p w14:paraId="221988B4" w14:textId="77777777" w:rsidR="00B370CD" w:rsidRDefault="00B370CD" w:rsidP="00E03545">
      <w:pPr>
        <w:spacing w:after="0" w:line="240" w:lineRule="auto"/>
        <w:jc w:val="center"/>
        <w:outlineLvl w:val="2"/>
        <w:rPr>
          <w:rFonts w:ascii="inherit" w:eastAsia="Times New Roman" w:hAnsi="inherit" w:cs="Helvetica"/>
          <w:b/>
          <w:bCs/>
          <w:color w:val="000000"/>
          <w:sz w:val="43"/>
          <w:szCs w:val="43"/>
          <w:lang w:eastAsia="it-IT"/>
        </w:rPr>
      </w:pPr>
    </w:p>
    <w:p w14:paraId="6ED9E13E" w14:textId="3324F1A7" w:rsidR="00745072" w:rsidRDefault="00C16DAE" w:rsidP="00E03545">
      <w:pPr>
        <w:spacing w:after="0" w:line="240" w:lineRule="auto"/>
        <w:jc w:val="center"/>
        <w:outlineLvl w:val="2"/>
        <w:rPr>
          <w:rFonts w:ascii="inherit" w:eastAsia="Times New Roman" w:hAnsi="inherit" w:cs="Helvetica"/>
          <w:b/>
          <w:bCs/>
          <w:color w:val="000000"/>
          <w:sz w:val="43"/>
          <w:szCs w:val="43"/>
          <w:lang w:eastAsia="it-IT"/>
        </w:rPr>
      </w:pPr>
      <w:r w:rsidRPr="00C16DAE">
        <w:rPr>
          <w:rFonts w:ascii="inherit" w:eastAsia="Times New Roman" w:hAnsi="inherit" w:cs="Helvetica"/>
          <w:b/>
          <w:bCs/>
          <w:color w:val="000000"/>
          <w:sz w:val="43"/>
          <w:szCs w:val="43"/>
          <w:lang w:eastAsia="it-IT"/>
        </w:rPr>
        <w:t xml:space="preserve">Monitoraggio assenze per </w:t>
      </w:r>
      <w:r w:rsidR="00C70030">
        <w:rPr>
          <w:rFonts w:ascii="inherit" w:eastAsia="Times New Roman" w:hAnsi="inherit" w:cs="Helvetica"/>
          <w:b/>
          <w:bCs/>
          <w:color w:val="000000"/>
          <w:sz w:val="43"/>
          <w:szCs w:val="43"/>
          <w:lang w:eastAsia="it-IT"/>
        </w:rPr>
        <w:t>marzo</w:t>
      </w:r>
    </w:p>
    <w:p w14:paraId="410215DB" w14:textId="06EB7569" w:rsidR="00E03545" w:rsidRDefault="0055325D" w:rsidP="00E03545">
      <w:pPr>
        <w:spacing w:after="0" w:line="240" w:lineRule="auto"/>
        <w:jc w:val="center"/>
        <w:outlineLvl w:val="2"/>
        <w:rPr>
          <w:rFonts w:ascii="inherit" w:eastAsia="Times New Roman" w:hAnsi="inherit" w:cs="Helvetica"/>
          <w:b/>
          <w:bCs/>
          <w:color w:val="000000"/>
          <w:sz w:val="43"/>
          <w:szCs w:val="43"/>
          <w:lang w:eastAsia="it-IT"/>
        </w:rPr>
      </w:pPr>
      <w:r>
        <w:rPr>
          <w:rFonts w:ascii="inherit" w:eastAsia="Times New Roman" w:hAnsi="inherit" w:cs="Helvetica"/>
          <w:b/>
          <w:bCs/>
          <w:color w:val="000000"/>
          <w:sz w:val="43"/>
          <w:szCs w:val="43"/>
          <w:lang w:eastAsia="it-IT"/>
        </w:rPr>
        <w:t>2022</w:t>
      </w:r>
    </w:p>
    <w:p w14:paraId="297BCD75" w14:textId="1290D81B" w:rsidR="00C16DAE" w:rsidRDefault="00EC515B" w:rsidP="00E03545">
      <w:pPr>
        <w:spacing w:after="0" w:line="240" w:lineRule="auto"/>
        <w:jc w:val="center"/>
        <w:outlineLvl w:val="2"/>
        <w:rPr>
          <w:rFonts w:ascii="inherit" w:eastAsia="Times New Roman" w:hAnsi="inherit" w:cs="Helvetica"/>
          <w:b/>
          <w:bCs/>
          <w:color w:val="000000"/>
          <w:sz w:val="43"/>
          <w:szCs w:val="43"/>
          <w:lang w:eastAsia="it-IT"/>
        </w:rPr>
      </w:pPr>
      <w:r>
        <w:rPr>
          <w:rFonts w:ascii="inherit" w:eastAsia="Times New Roman" w:hAnsi="inherit" w:cs="Helvetica"/>
          <w:b/>
          <w:bCs/>
          <w:color w:val="000000"/>
          <w:sz w:val="43"/>
          <w:szCs w:val="43"/>
          <w:lang w:eastAsia="it-IT"/>
        </w:rPr>
        <w:t>Dati</w:t>
      </w:r>
      <w:r w:rsidR="00E03545">
        <w:rPr>
          <w:rFonts w:ascii="inherit" w:eastAsia="Times New Roman" w:hAnsi="inherit" w:cs="Helvetica"/>
          <w:b/>
          <w:bCs/>
          <w:color w:val="000000"/>
          <w:sz w:val="43"/>
          <w:szCs w:val="43"/>
          <w:lang w:eastAsia="it-IT"/>
        </w:rPr>
        <w:t xml:space="preserve"> sintetici</w:t>
      </w:r>
    </w:p>
    <w:p w14:paraId="0D85DBA5" w14:textId="77777777" w:rsidR="00C16DAE" w:rsidRPr="00C16DAE" w:rsidRDefault="00C16DAE" w:rsidP="00C16DAE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olor w:val="000000"/>
          <w:sz w:val="43"/>
          <w:szCs w:val="43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Assenze e procedimenti disciplinari avviati - dato aggregato"/>
      </w:tblPr>
      <w:tblGrid>
        <w:gridCol w:w="6683"/>
        <w:gridCol w:w="1470"/>
        <w:gridCol w:w="1485"/>
      </w:tblGrid>
      <w:tr w:rsidR="00C16DAE" w:rsidRPr="00C16DAE" w14:paraId="77602704" w14:textId="77777777" w:rsidTr="00C16DA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8101F" w14:textId="77777777" w:rsidR="00C16DAE" w:rsidRPr="005570EE" w:rsidRDefault="00C16DAE" w:rsidP="00C16DAE">
            <w:pPr>
              <w:rPr>
                <w:rFonts w:ascii="Titillium Web" w:eastAsia="Times New Roman" w:hAnsi="Titillium Web" w:cs="Helvetica"/>
                <w:b/>
                <w:bCs/>
                <w:color w:val="004C9E"/>
                <w:sz w:val="16"/>
                <w:szCs w:val="16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  <w:br w:type="textWrapping" w:clear="all"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F6487" w14:textId="2B5751B6" w:rsidR="00C16DAE" w:rsidRPr="005570EE" w:rsidRDefault="00C70030" w:rsidP="00E660CE">
            <w:pPr>
              <w:spacing w:after="42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0"/>
                <w:szCs w:val="20"/>
                <w:lang w:eastAsia="it-IT"/>
              </w:rPr>
            </w:pPr>
            <w:r>
              <w:rPr>
                <w:rFonts w:ascii="Titillium Web" w:eastAsia="Times New Roman" w:hAnsi="Titillium Web" w:cs="Helvetica"/>
                <w:b/>
                <w:bCs/>
                <w:color w:val="333333"/>
                <w:sz w:val="20"/>
                <w:szCs w:val="20"/>
                <w:lang w:eastAsia="it-IT"/>
              </w:rPr>
              <w:t xml:space="preserve"> Marzo </w:t>
            </w:r>
            <w:r w:rsidR="0055325D">
              <w:rPr>
                <w:rFonts w:ascii="Titillium Web" w:eastAsia="Times New Roman" w:hAnsi="Titillium Web" w:cs="Helvetica"/>
                <w:b/>
                <w:bCs/>
                <w:color w:val="333333"/>
                <w:sz w:val="20"/>
                <w:szCs w:val="20"/>
                <w:lang w:eastAsia="it-IT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08522" w14:textId="60CD179F" w:rsidR="00C16DAE" w:rsidRPr="005570EE" w:rsidRDefault="00C70030" w:rsidP="00E660CE">
            <w:pPr>
              <w:spacing w:after="42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0"/>
                <w:szCs w:val="20"/>
                <w:lang w:eastAsia="it-IT"/>
              </w:rPr>
            </w:pPr>
            <w:r>
              <w:rPr>
                <w:rFonts w:ascii="Titillium Web" w:eastAsia="Times New Roman" w:hAnsi="Titillium Web" w:cs="Helvetica"/>
                <w:b/>
                <w:bCs/>
                <w:color w:val="333333"/>
                <w:sz w:val="20"/>
                <w:szCs w:val="20"/>
                <w:lang w:eastAsia="it-IT"/>
              </w:rPr>
              <w:t xml:space="preserve"> Marzo</w:t>
            </w:r>
            <w:r w:rsidR="00766B7B">
              <w:rPr>
                <w:rFonts w:ascii="Titillium Web" w:eastAsia="Times New Roman" w:hAnsi="Titillium Web" w:cs="Helvetica"/>
                <w:b/>
                <w:bCs/>
                <w:color w:val="333333"/>
                <w:sz w:val="20"/>
                <w:szCs w:val="20"/>
                <w:lang w:eastAsia="it-IT"/>
              </w:rPr>
              <w:t xml:space="preserve"> </w:t>
            </w:r>
            <w:r w:rsidR="0055325D">
              <w:rPr>
                <w:rFonts w:ascii="Titillium Web" w:eastAsia="Times New Roman" w:hAnsi="Titillium Web" w:cs="Helvetica"/>
                <w:b/>
                <w:bCs/>
                <w:color w:val="333333"/>
                <w:sz w:val="20"/>
                <w:szCs w:val="20"/>
                <w:lang w:eastAsia="it-IT"/>
              </w:rPr>
              <w:t>2021</w:t>
            </w:r>
          </w:p>
        </w:tc>
      </w:tr>
      <w:tr w:rsidR="00C16DAE" w:rsidRPr="00C16DAE" w14:paraId="5F8680F3" w14:textId="77777777" w:rsidTr="00C16DA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5B119" w14:textId="77777777" w:rsidR="00C16DAE" w:rsidRPr="00C16DAE" w:rsidRDefault="00C16DAE" w:rsidP="00C16DAE">
            <w:pPr>
              <w:spacing w:after="42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  <w:t xml:space="preserve">A. Totale delle assenze per malattie </w:t>
            </w:r>
          </w:p>
          <w:p w14:paraId="4127F49B" w14:textId="77777777" w:rsidR="00C16DAE" w:rsidRPr="00C16DAE" w:rsidRDefault="00C16DAE" w:rsidP="0012649E">
            <w:pPr>
              <w:spacing w:after="188" w:line="240" w:lineRule="auto"/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Numero complessivo di giorni di assenza del personale non dirigenziale a tempo indeterminato e di tu</w:t>
            </w:r>
            <w:r w:rsidR="0012649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tto il personale dirigenziale (</w:t>
            </w: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 xml:space="preserve">a tempo determinato e indeterminato) rilevato nel mese, calcolato facendo riferimento alle sole giornate lavorative.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FC70F" w14:textId="535F88C5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23932E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1in;height:18pt" o:ole="">
                  <v:imagedata r:id="rId8" o:title=""/>
                </v:shape>
                <w:control r:id="rId9" w:name="DefaultOcxName" w:shapeid="_x0000_i105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461BF" w14:textId="247AA886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606404D5">
                <v:shape id="_x0000_i1057" type="#_x0000_t75" style="width:1in;height:18pt" o:ole="">
                  <v:imagedata r:id="rId10" o:title=""/>
                </v:shape>
                <w:control r:id="rId11" w:name="DefaultOcxName1" w:shapeid="_x0000_i1057"/>
              </w:object>
            </w:r>
          </w:p>
        </w:tc>
      </w:tr>
      <w:tr w:rsidR="00C16DAE" w:rsidRPr="00C16DAE" w14:paraId="3C4D6E39" w14:textId="77777777" w:rsidTr="00C16DA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DDCB1" w14:textId="77777777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  <w:t xml:space="preserve">B. Eventi di assenza per malattia superiore a 10 giorni </w:t>
            </w:r>
          </w:p>
          <w:p w14:paraId="1CD85A27" w14:textId="77777777" w:rsidR="00C16DAE" w:rsidRPr="00C16DAE" w:rsidRDefault="00C16DAE" w:rsidP="0012649E">
            <w:pPr>
              <w:spacing w:after="188" w:line="240" w:lineRule="auto"/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Numero di periodi di assenza per malattia co</w:t>
            </w:r>
            <w:r w:rsidR="0012649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ntinuativa superiori a 10 gg. (</w:t>
            </w: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in presenza di eventi che si s</w:t>
            </w:r>
            <w:r w:rsidR="0012649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viluppano a cavallo su due o più</w:t>
            </w: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 xml:space="preserve"> mesi, l'evento va indicato nell'ultimo mese). Le giornate di assenza per malattia di cui si compone l'evento NON devono essere inserite nella casella A.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75A91" w14:textId="5352DBB0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781A3671">
                <v:shape id="_x0000_i1060" type="#_x0000_t75" style="width:1in;height:18pt" o:ole="">
                  <v:imagedata r:id="rId12" o:title=""/>
                </v:shape>
                <w:control r:id="rId13" w:name="DefaultOcxName2" w:shapeid="_x0000_i106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A42B2" w14:textId="390E49E2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20A78FCE">
                <v:shape id="_x0000_i1063" type="#_x0000_t75" style="width:1in;height:18pt" o:ole="">
                  <v:imagedata r:id="rId14" o:title=""/>
                </v:shape>
                <w:control r:id="rId15" w:name="DefaultOcxName3" w:shapeid="_x0000_i1063"/>
              </w:object>
            </w:r>
          </w:p>
        </w:tc>
      </w:tr>
      <w:tr w:rsidR="00C16DAE" w:rsidRPr="00C16DAE" w14:paraId="346A1F72" w14:textId="77777777" w:rsidTr="00C16DA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A4618" w14:textId="77777777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  <w:t xml:space="preserve">C. Totale delle assenze per altri motivi </w:t>
            </w:r>
          </w:p>
          <w:p w14:paraId="30AFC1D7" w14:textId="77777777" w:rsidR="00C16DAE" w:rsidRPr="00C16DAE" w:rsidRDefault="00C16DAE" w:rsidP="0012649E">
            <w:pPr>
              <w:spacing w:after="188" w:line="240" w:lineRule="auto"/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Numero complessivo di giorni retribuiti di assenza per altri motivi del personale non dirigenziale a tempo indeterminato e di tu</w:t>
            </w:r>
            <w:r w:rsidR="0012649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tto il personale dirigenziale (</w:t>
            </w: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a tempo determinato e indeterminato), calcolato con riferimento alle sole giornate lavorative. Sono comprese le assenze per maternità retribuite e le assenze dovute a permessi di cui alla L.104/92 solo quando usufruiti per l'intera giornata. Sono escluse le ferie ed i permessi ad ore.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C14A5" w14:textId="552095E0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574483F6">
                <v:shape id="_x0000_i1066" type="#_x0000_t75" style="width:1in;height:18pt" o:ole="">
                  <v:imagedata r:id="rId16" o:title=""/>
                </v:shape>
                <w:control r:id="rId17" w:name="DefaultOcxName4" w:shapeid="_x0000_i106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0E47C" w14:textId="0F91CD8E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7A87620F">
                <v:shape id="_x0000_i1069" type="#_x0000_t75" style="width:1in;height:18pt" o:ole="">
                  <v:imagedata r:id="rId18" o:title=""/>
                </v:shape>
                <w:control r:id="rId19" w:name="DefaultOcxName5" w:shapeid="_x0000_i1069"/>
              </w:object>
            </w:r>
          </w:p>
        </w:tc>
      </w:tr>
      <w:tr w:rsidR="00C16DAE" w:rsidRPr="00C16DAE" w14:paraId="4132F669" w14:textId="77777777" w:rsidTr="00C16DA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52D4E" w14:textId="77777777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  <w:t xml:space="preserve">C1 - di cui: Totale delle assenze dovute a permessi ex legge 104/92 </w:t>
            </w:r>
          </w:p>
          <w:p w14:paraId="06E801D3" w14:textId="77777777" w:rsidR="00C16DAE" w:rsidRPr="00C16DAE" w:rsidRDefault="00C16DAE" w:rsidP="00C16DAE">
            <w:pPr>
              <w:spacing w:after="188" w:line="240" w:lineRule="auto"/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lastRenderedPageBreak/>
              <w:t>Numero complessivo di giorni di assenza dovuti a permessi di cui alla L. 104/92, solo quando usufruiti per l'intera giornata.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AB221" w14:textId="39D83AEE" w:rsidR="00C16DAE" w:rsidRPr="00043D98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8"/>
                <w:szCs w:val="28"/>
                <w:lang w:eastAsia="it-IT"/>
              </w:rPr>
            </w:pPr>
            <w:r w:rsidRPr="00043D98">
              <w:rPr>
                <w:rFonts w:ascii="Titillium Web" w:eastAsia="Times New Roman" w:hAnsi="Titillium Web" w:cs="Helvetica"/>
                <w:color w:val="333333"/>
                <w:sz w:val="28"/>
                <w:szCs w:val="28"/>
              </w:rPr>
              <w:lastRenderedPageBreak/>
              <w:object w:dxaOrig="1440" w:dyaOrig="1440" w14:anchorId="36C9D6A8">
                <v:shape id="_x0000_i1072" type="#_x0000_t75" style="width:1in;height:18pt" o:ole="">
                  <v:imagedata r:id="rId20" o:title=""/>
                </v:shape>
                <w:control r:id="rId21" w:name="DefaultOcxName6" w:shapeid="_x0000_i107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0517E" w14:textId="54E4C8EC" w:rsidR="00C16DAE" w:rsidRPr="00043D98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8"/>
                <w:szCs w:val="28"/>
                <w:lang w:eastAsia="it-IT"/>
              </w:rPr>
            </w:pPr>
            <w:r w:rsidRPr="00043D98">
              <w:rPr>
                <w:rFonts w:ascii="Titillium Web" w:eastAsia="Times New Roman" w:hAnsi="Titillium Web" w:cs="Helvetica"/>
                <w:color w:val="333333"/>
                <w:sz w:val="28"/>
                <w:szCs w:val="28"/>
              </w:rPr>
              <w:object w:dxaOrig="1440" w:dyaOrig="1440" w14:anchorId="783CB296">
                <v:shape id="_x0000_i1075" type="#_x0000_t75" style="width:1in;height:18pt" o:ole="">
                  <v:imagedata r:id="rId22" o:title=""/>
                </v:shape>
                <w:control r:id="rId23" w:name="DefaultOcxName7" w:shapeid="_x0000_i1075"/>
              </w:object>
            </w:r>
          </w:p>
        </w:tc>
      </w:tr>
      <w:tr w:rsidR="00C16DAE" w:rsidRPr="00C16DAE" w14:paraId="3C22ED49" w14:textId="77777777" w:rsidTr="00C16DA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3F75B" w14:textId="77777777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  <w:t xml:space="preserve">D. Numero dipendenti </w:t>
            </w:r>
          </w:p>
          <w:p w14:paraId="0DD54D68" w14:textId="44287B7B" w:rsidR="00C16DAE" w:rsidRPr="00C16DAE" w:rsidRDefault="00C16DAE" w:rsidP="00C16DAE">
            <w:pPr>
              <w:spacing w:after="188" w:line="240" w:lineRule="auto"/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Totale del personale non dirigenziale a tempo indeterminato e di tutto il personale dirigenziale (a tempo determinato e indeterminato) nei ruoli dell'Amministrazione all'inizio del mese.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73F1C" w14:textId="6FB0A3F7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4B9C103D">
                <v:shape id="_x0000_i1078" type="#_x0000_t75" style="width:1in;height:18pt" o:ole="">
                  <v:imagedata r:id="rId24" o:title=""/>
                </v:shape>
                <w:control r:id="rId25" w:name="DefaultOcxName8" w:shapeid="_x0000_i107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CF514" w14:textId="2DEDE915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3D27D5CB">
                <v:shape id="_x0000_i1081" type="#_x0000_t75" style="width:1in;height:18pt" o:ole="">
                  <v:imagedata r:id="rId26" o:title=""/>
                </v:shape>
                <w:control r:id="rId27" w:name="DefaultOcxName9" w:shapeid="_x0000_i1081"/>
              </w:object>
            </w:r>
          </w:p>
        </w:tc>
      </w:tr>
      <w:tr w:rsidR="00C16DAE" w:rsidRPr="00C16DAE" w14:paraId="2809736C" w14:textId="77777777" w:rsidTr="00C16DA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5EE73" w14:textId="77777777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  <w:t xml:space="preserve">E. Procedimenti disciplinari avviati relativi alle assenze </w:t>
            </w:r>
          </w:p>
          <w:p w14:paraId="4FC97EF4" w14:textId="77777777" w:rsidR="00C16DAE" w:rsidRPr="00C16DAE" w:rsidRDefault="00C16DAE" w:rsidP="00C16DAE">
            <w:pPr>
              <w:spacing w:after="188" w:line="240" w:lineRule="auto"/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Numero dei procedimenti avviati nel mese.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833EE" w14:textId="316AB15C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3C419A39">
                <v:shape id="_x0000_i1084" type="#_x0000_t75" style="width:1in;height:18pt" o:ole="">
                  <v:imagedata r:id="rId28" o:title=""/>
                </v:shape>
                <w:control r:id="rId29" w:name="DefaultOcxName10" w:shapeid="_x0000_i108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CEA68" w14:textId="655DEBCC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3BC64F81">
                <v:shape id="_x0000_i1087" type="#_x0000_t75" style="width:1in;height:18pt" o:ole="">
                  <v:imagedata r:id="rId30" o:title=""/>
                </v:shape>
                <w:control r:id="rId31" w:name="DefaultOcxName11" w:shapeid="_x0000_i1087"/>
              </w:object>
            </w:r>
          </w:p>
        </w:tc>
      </w:tr>
      <w:tr w:rsidR="00C16DAE" w:rsidRPr="00C16DAE" w14:paraId="76920BDB" w14:textId="77777777" w:rsidTr="00C16DA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DBCF8" w14:textId="77777777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  <w:t xml:space="preserve">F. Procedimenti disciplinari relativi alle assenze conclusi con sanzioni </w:t>
            </w:r>
          </w:p>
          <w:p w14:paraId="77673B8D" w14:textId="77777777" w:rsidR="00C16DAE" w:rsidRPr="00C16DAE" w:rsidRDefault="00C16DAE" w:rsidP="00C16DAE">
            <w:pPr>
              <w:spacing w:after="188" w:line="240" w:lineRule="auto"/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Numero di sanzioni disciplinari irrogate nel mese in relazione a procedimenti relativi ad assenze dal servizio.</w:t>
            </w:r>
          </w:p>
        </w:tc>
        <w:bookmarkStart w:id="0" w:name="_GoBack"/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478AC" w14:textId="2EA9441F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41E4D6B0">
                <v:shape id="_x0000_i1221" type="#_x0000_t75" style="width:1in;height:18pt" o:ole="">
                  <v:imagedata r:id="rId32" o:title=""/>
                </v:shape>
                <w:control r:id="rId33" w:name="DefaultOcxName12" w:shapeid="_x0000_i1221"/>
              </w:object>
            </w:r>
            <w:bookmarkEnd w:id="0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64069" w14:textId="14D0833E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030CFB14">
                <v:shape id="_x0000_i1093" type="#_x0000_t75" style="width:1in;height:18pt" o:ole="">
                  <v:imagedata r:id="rId34" o:title=""/>
                </v:shape>
                <w:control r:id="rId35" w:name="DefaultOcxName13" w:shapeid="_x0000_i1093"/>
              </w:object>
            </w:r>
          </w:p>
        </w:tc>
      </w:tr>
      <w:tr w:rsidR="00C16DAE" w:rsidRPr="00C16DAE" w14:paraId="0A98520A" w14:textId="77777777" w:rsidTr="00064B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DB962" w14:textId="7EF5C858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DC2EF" w14:textId="10AE04AB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C3EF6" w14:textId="1A282206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</w:p>
        </w:tc>
      </w:tr>
      <w:tr w:rsidR="00C16DAE" w:rsidRPr="00C16DAE" w14:paraId="73087A8C" w14:textId="77777777" w:rsidTr="00064B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007FA" w14:textId="3C76B6B7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EBA18" w14:textId="04333B4D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5EE00" w14:textId="24FFCB9E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</w:p>
        </w:tc>
      </w:tr>
      <w:tr w:rsidR="00C16DAE" w:rsidRPr="00C16DAE" w14:paraId="20377FE0" w14:textId="77777777" w:rsidTr="00064B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23EAD" w14:textId="25C1DDA7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B4964" w14:textId="588C9F23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B534E" w14:textId="05D85DA1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</w:p>
        </w:tc>
      </w:tr>
    </w:tbl>
    <w:p w14:paraId="0C31721F" w14:textId="77777777" w:rsidR="00C16DAE" w:rsidRPr="00C16DAE" w:rsidRDefault="00C16DAE" w:rsidP="00C16DAE">
      <w:pPr>
        <w:spacing w:after="0" w:line="240" w:lineRule="auto"/>
        <w:rPr>
          <w:rFonts w:ascii="Titillium Web" w:eastAsia="Times New Roman" w:hAnsi="Titillium Web" w:cs="Helvetica"/>
          <w:color w:val="333333"/>
          <w:sz w:val="24"/>
          <w:szCs w:val="24"/>
          <w:lang w:eastAsia="it-IT"/>
        </w:rPr>
      </w:pPr>
      <w:r w:rsidRPr="00C16DAE">
        <w:rPr>
          <w:rFonts w:ascii="Titillium Web" w:eastAsia="Times New Roman" w:hAnsi="Titillium Web" w:cs="Helvetica"/>
          <w:color w:val="333333"/>
          <w:sz w:val="24"/>
          <w:szCs w:val="24"/>
          <w:lang w:eastAsia="it-IT"/>
        </w:rPr>
        <w:br w:type="textWrapping" w:clear="all"/>
      </w:r>
    </w:p>
    <w:p w14:paraId="5FF3B626" w14:textId="77777777" w:rsidR="00C16DAE" w:rsidRPr="00C16DAE" w:rsidRDefault="00C16DAE" w:rsidP="00C16DA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C16DAE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239FB410" w14:textId="77777777" w:rsidR="00C16DAE" w:rsidRPr="00C16DAE" w:rsidRDefault="00C16DAE" w:rsidP="00C16DAE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C16DAE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14:paraId="40CB7EA3" w14:textId="77777777" w:rsidR="00C16DAE" w:rsidRPr="00C16DAE" w:rsidRDefault="00407CDF" w:rsidP="00C16DAE">
      <w:pPr>
        <w:spacing w:line="240" w:lineRule="auto"/>
        <w:rPr>
          <w:rFonts w:ascii="inherit" w:eastAsia="Times New Roman" w:hAnsi="inherit" w:cs="Helvetica"/>
          <w:vanish/>
          <w:color w:val="000000"/>
          <w:spacing w:val="2"/>
          <w:sz w:val="32"/>
          <w:szCs w:val="32"/>
          <w:lang w:eastAsia="it-IT"/>
        </w:rPr>
      </w:pPr>
      <w:hyperlink r:id="rId36" w:tooltip="Sito del Governo Italiano" w:history="1">
        <w:r w:rsidR="00C16DAE" w:rsidRPr="00C16DAE">
          <w:rPr>
            <w:rFonts w:ascii="inherit" w:eastAsia="Times New Roman" w:hAnsi="inherit" w:cs="Helvetica"/>
            <w:b/>
            <w:bCs/>
            <w:vanish/>
            <w:color w:val="000000"/>
            <w:spacing w:val="2"/>
            <w:sz w:val="32"/>
            <w:szCs w:val="32"/>
            <w:lang w:eastAsia="it-IT"/>
          </w:rPr>
          <w:t>Governo Italiano</w:t>
        </w:r>
        <w:r w:rsidR="00C16DAE" w:rsidRPr="00C16DAE">
          <w:rPr>
            <w:rFonts w:ascii="inherit" w:eastAsia="Times New Roman" w:hAnsi="inherit" w:cs="Helvetica"/>
            <w:vanish/>
            <w:color w:val="000000"/>
            <w:spacing w:val="2"/>
            <w:sz w:val="32"/>
            <w:szCs w:val="32"/>
            <w:lang w:eastAsia="it-IT"/>
          </w:rPr>
          <w:t xml:space="preserve"> Presidenza del Consiglio dei Ministri </w:t>
        </w:r>
      </w:hyperlink>
    </w:p>
    <w:p w14:paraId="59C60F3A" w14:textId="77777777" w:rsidR="00C16DAE" w:rsidRPr="00C16DAE" w:rsidRDefault="00C16DAE" w:rsidP="00C16DAE">
      <w:pPr>
        <w:spacing w:after="0" w:line="240" w:lineRule="auto"/>
        <w:rPr>
          <w:rFonts w:ascii="Titillium Web" w:eastAsia="Times New Roman" w:hAnsi="Titillium Web" w:cs="Helvetica"/>
          <w:color w:val="333333"/>
          <w:sz w:val="24"/>
          <w:szCs w:val="24"/>
          <w:lang w:eastAsia="it-IT"/>
        </w:rPr>
      </w:pPr>
      <w:r w:rsidRPr="00C16DAE">
        <w:rPr>
          <w:rFonts w:ascii="Titillium Web" w:eastAsia="Times New Roman" w:hAnsi="Titillium Web" w:cs="Helvetica"/>
          <w:noProof/>
          <w:color w:val="000000"/>
          <w:sz w:val="24"/>
          <w:szCs w:val="24"/>
          <w:lang w:eastAsia="it-IT"/>
        </w:rPr>
        <w:drawing>
          <wp:inline distT="0" distB="0" distL="0" distR="0" wp14:anchorId="74FBF086" wp14:editId="00473680">
            <wp:extent cx="1288415" cy="1428115"/>
            <wp:effectExtent l="0" t="0" r="6985" b="635"/>
            <wp:docPr id="37" name="Immagine 37" descr="Logo Governo Italiano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 Governo Italiano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30002" w14:textId="77777777" w:rsidR="00C16DAE" w:rsidRPr="00C16DAE" w:rsidRDefault="00407CDF" w:rsidP="00C16DAE">
      <w:pPr>
        <w:spacing w:after="600" w:line="240" w:lineRule="auto"/>
        <w:rPr>
          <w:rFonts w:ascii="inherit" w:eastAsia="Times New Roman" w:hAnsi="inherit" w:cs="Helvetica"/>
          <w:b/>
          <w:bCs/>
          <w:vanish/>
          <w:color w:val="000000"/>
          <w:spacing w:val="-2"/>
          <w:sz w:val="80"/>
          <w:szCs w:val="80"/>
          <w:lang w:eastAsia="it-IT"/>
        </w:rPr>
      </w:pPr>
      <w:hyperlink r:id="rId39" w:tooltip="Ministro per la Semplificazione e la Pubblica Amministrazione" w:history="1">
        <w:r w:rsidR="00C16DAE" w:rsidRPr="00C16DAE">
          <w:rPr>
            <w:rFonts w:ascii="inherit" w:eastAsia="Times New Roman" w:hAnsi="inherit" w:cs="Helvetica"/>
            <w:b/>
            <w:bCs/>
            <w:vanish/>
            <w:color w:val="FFFFFF"/>
            <w:spacing w:val="-2"/>
            <w:sz w:val="80"/>
            <w:szCs w:val="80"/>
            <w:lang w:eastAsia="it-IT"/>
          </w:rPr>
          <w:t xml:space="preserve">Ministro per la Semplificazione </w:t>
        </w:r>
        <w:r w:rsidR="00C16DAE" w:rsidRPr="00C16DAE">
          <w:rPr>
            <w:rFonts w:ascii="inherit" w:eastAsia="Times New Roman" w:hAnsi="inherit" w:cs="Helvetica"/>
            <w:b/>
            <w:bCs/>
            <w:vanish/>
            <w:color w:val="FFFFFF"/>
            <w:spacing w:val="-2"/>
            <w:sz w:val="80"/>
            <w:szCs w:val="80"/>
            <w:lang w:eastAsia="it-IT"/>
          </w:rPr>
          <w:br/>
          <w:t>e la Pubblica Amministrazione</w:t>
        </w:r>
      </w:hyperlink>
    </w:p>
    <w:p w14:paraId="0B6421B3" w14:textId="77777777" w:rsidR="00C16DAE" w:rsidRPr="00C16DAE" w:rsidRDefault="00C16DAE" w:rsidP="00C16DAE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vanish/>
          <w:color w:val="000000"/>
          <w:sz w:val="43"/>
          <w:szCs w:val="43"/>
          <w:lang w:eastAsia="it-IT"/>
        </w:rPr>
      </w:pPr>
      <w:r w:rsidRPr="00C16DAE">
        <w:rPr>
          <w:rFonts w:ascii="inherit" w:eastAsia="Times New Roman" w:hAnsi="inherit" w:cs="Helvetica"/>
          <w:b/>
          <w:bCs/>
          <w:vanish/>
          <w:color w:val="000000"/>
          <w:sz w:val="43"/>
          <w:szCs w:val="43"/>
          <w:lang w:eastAsia="it-IT"/>
        </w:rPr>
        <w:t>Contatti</w:t>
      </w:r>
    </w:p>
    <w:p w14:paraId="1B6D82C2" w14:textId="77777777" w:rsidR="00C16DAE" w:rsidRPr="00C16DAE" w:rsidRDefault="00C16DAE" w:rsidP="00C16DAE">
      <w:pPr>
        <w:spacing w:after="375" w:line="240" w:lineRule="auto"/>
        <w:rPr>
          <w:rFonts w:ascii="inherit" w:eastAsia="Times New Roman" w:hAnsi="inherit" w:cs="Helvetica"/>
          <w:vanish/>
          <w:color w:val="000000"/>
          <w:spacing w:val="2"/>
          <w:sz w:val="32"/>
          <w:szCs w:val="32"/>
          <w:lang w:eastAsia="it-IT"/>
        </w:rPr>
      </w:pPr>
      <w:r w:rsidRPr="00C16DAE">
        <w:rPr>
          <w:rFonts w:ascii="inherit" w:eastAsia="Times New Roman" w:hAnsi="inherit" w:cs="Helvetica"/>
          <w:vanish/>
          <w:color w:val="000000"/>
          <w:spacing w:val="2"/>
          <w:sz w:val="32"/>
          <w:szCs w:val="32"/>
          <w:lang w:eastAsia="it-IT"/>
        </w:rPr>
        <w:t>PerlaPA</w:t>
      </w:r>
    </w:p>
    <w:p w14:paraId="533DFED4" w14:textId="77777777" w:rsidR="00C16DAE" w:rsidRPr="00C16DAE" w:rsidRDefault="00C16DAE" w:rsidP="00C16DAE">
      <w:pPr>
        <w:spacing w:after="188" w:line="240" w:lineRule="auto"/>
        <w:rPr>
          <w:rFonts w:ascii="Titillium Web" w:eastAsia="Times New Roman" w:hAnsi="Titillium Web" w:cs="Helvetica"/>
          <w:vanish/>
          <w:color w:val="333333"/>
          <w:spacing w:val="2"/>
          <w:sz w:val="24"/>
          <w:szCs w:val="24"/>
          <w:lang w:eastAsia="it-IT"/>
        </w:rPr>
      </w:pPr>
      <w:r w:rsidRPr="00C16DAE">
        <w:rPr>
          <w:rFonts w:ascii="Titillium Web" w:eastAsia="Times New Roman" w:hAnsi="Titillium Web" w:cs="Helvetica"/>
          <w:vanish/>
          <w:color w:val="333333"/>
          <w:spacing w:val="2"/>
          <w:sz w:val="24"/>
          <w:szCs w:val="24"/>
          <w:lang w:eastAsia="it-IT"/>
        </w:rPr>
        <w:t>Numero unico 06 82888718 Email: perlapa@governo.it</w:t>
      </w:r>
    </w:p>
    <w:p w14:paraId="0C65E741" w14:textId="77777777" w:rsidR="00C16DAE" w:rsidRPr="00C16DAE" w:rsidRDefault="00407CDF" w:rsidP="00C16DAE">
      <w:pPr>
        <w:spacing w:after="0" w:line="240" w:lineRule="auto"/>
        <w:rPr>
          <w:rFonts w:ascii="Titillium Web" w:eastAsia="Times New Roman" w:hAnsi="Titillium Web" w:cs="Helvetica"/>
          <w:vanish/>
          <w:color w:val="333333"/>
          <w:sz w:val="24"/>
          <w:szCs w:val="24"/>
          <w:lang w:eastAsia="it-IT"/>
        </w:rPr>
      </w:pPr>
      <w:hyperlink r:id="rId40" w:anchor="body" w:history="1">
        <w:r w:rsidR="00C16DAE" w:rsidRPr="00C16DAE">
          <w:rPr>
            <w:rFonts w:ascii="Titillium Web" w:eastAsia="Times New Roman" w:hAnsi="Titillium Web" w:cs="Helvetica"/>
            <w:vanish/>
            <w:color w:val="000000"/>
            <w:sz w:val="45"/>
            <w:szCs w:val="45"/>
            <w:bdr w:val="single" w:sz="12" w:space="0" w:color="FFFFFF" w:frame="1"/>
            <w:shd w:val="clear" w:color="auto" w:fill="00264D"/>
            <w:lang w:eastAsia="it-IT"/>
          </w:rPr>
          <w:t>^</w:t>
        </w:r>
      </w:hyperlink>
    </w:p>
    <w:p w14:paraId="3C657318" w14:textId="77777777" w:rsidR="0055464A" w:rsidRDefault="0055464A" w:rsidP="00C16DAE"/>
    <w:sectPr w:rsidR="005546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AE"/>
    <w:rsid w:val="0000539D"/>
    <w:rsid w:val="00011AF0"/>
    <w:rsid w:val="00043D98"/>
    <w:rsid w:val="000556AD"/>
    <w:rsid w:val="00060621"/>
    <w:rsid w:val="00064BFF"/>
    <w:rsid w:val="000925AE"/>
    <w:rsid w:val="000C43D9"/>
    <w:rsid w:val="000D3D88"/>
    <w:rsid w:val="000D7419"/>
    <w:rsid w:val="000F46C7"/>
    <w:rsid w:val="0011537D"/>
    <w:rsid w:val="00117FE0"/>
    <w:rsid w:val="0012649E"/>
    <w:rsid w:val="00145B4C"/>
    <w:rsid w:val="00150FD1"/>
    <w:rsid w:val="00164ACE"/>
    <w:rsid w:val="0018501C"/>
    <w:rsid w:val="001877B2"/>
    <w:rsid w:val="001D1CA4"/>
    <w:rsid w:val="001F27EC"/>
    <w:rsid w:val="00206CD8"/>
    <w:rsid w:val="00221D01"/>
    <w:rsid w:val="00224AA8"/>
    <w:rsid w:val="00271A8A"/>
    <w:rsid w:val="003341F3"/>
    <w:rsid w:val="0036651A"/>
    <w:rsid w:val="00375529"/>
    <w:rsid w:val="0037791E"/>
    <w:rsid w:val="00385D25"/>
    <w:rsid w:val="003D53A1"/>
    <w:rsid w:val="003E16B9"/>
    <w:rsid w:val="003E326C"/>
    <w:rsid w:val="003F00E3"/>
    <w:rsid w:val="00407CDF"/>
    <w:rsid w:val="0041676E"/>
    <w:rsid w:val="00416DB6"/>
    <w:rsid w:val="00455A39"/>
    <w:rsid w:val="00460CA3"/>
    <w:rsid w:val="004647DE"/>
    <w:rsid w:val="00467A48"/>
    <w:rsid w:val="004B631C"/>
    <w:rsid w:val="004C5008"/>
    <w:rsid w:val="004F7A8B"/>
    <w:rsid w:val="00515650"/>
    <w:rsid w:val="00532BEC"/>
    <w:rsid w:val="0055325D"/>
    <w:rsid w:val="0055464A"/>
    <w:rsid w:val="00556248"/>
    <w:rsid w:val="005570EE"/>
    <w:rsid w:val="00582F8E"/>
    <w:rsid w:val="005934AB"/>
    <w:rsid w:val="005B20DA"/>
    <w:rsid w:val="005B75ED"/>
    <w:rsid w:val="005D4A5E"/>
    <w:rsid w:val="005E752C"/>
    <w:rsid w:val="0061437A"/>
    <w:rsid w:val="0061735E"/>
    <w:rsid w:val="00643C23"/>
    <w:rsid w:val="006721E6"/>
    <w:rsid w:val="006F503C"/>
    <w:rsid w:val="00705FD4"/>
    <w:rsid w:val="00707F6C"/>
    <w:rsid w:val="00714A0C"/>
    <w:rsid w:val="00745072"/>
    <w:rsid w:val="00747DE2"/>
    <w:rsid w:val="00756FFE"/>
    <w:rsid w:val="00766B7B"/>
    <w:rsid w:val="0077218C"/>
    <w:rsid w:val="007A4645"/>
    <w:rsid w:val="007F2515"/>
    <w:rsid w:val="008415A8"/>
    <w:rsid w:val="008B0C3B"/>
    <w:rsid w:val="008F2180"/>
    <w:rsid w:val="008F3132"/>
    <w:rsid w:val="009604C1"/>
    <w:rsid w:val="00963620"/>
    <w:rsid w:val="009B003E"/>
    <w:rsid w:val="009E49F1"/>
    <w:rsid w:val="009F2B76"/>
    <w:rsid w:val="00A3018D"/>
    <w:rsid w:val="00A34092"/>
    <w:rsid w:val="00A53A49"/>
    <w:rsid w:val="00A72CCD"/>
    <w:rsid w:val="00AB6C9C"/>
    <w:rsid w:val="00AC70EA"/>
    <w:rsid w:val="00AD3C2D"/>
    <w:rsid w:val="00AE77DC"/>
    <w:rsid w:val="00B06624"/>
    <w:rsid w:val="00B2067F"/>
    <w:rsid w:val="00B370CD"/>
    <w:rsid w:val="00B43FCB"/>
    <w:rsid w:val="00B6407F"/>
    <w:rsid w:val="00B647EB"/>
    <w:rsid w:val="00B81D99"/>
    <w:rsid w:val="00BA2C40"/>
    <w:rsid w:val="00BE3120"/>
    <w:rsid w:val="00C02DF4"/>
    <w:rsid w:val="00C16DAE"/>
    <w:rsid w:val="00C208CF"/>
    <w:rsid w:val="00C23ADE"/>
    <w:rsid w:val="00C3568B"/>
    <w:rsid w:val="00C70030"/>
    <w:rsid w:val="00C9594E"/>
    <w:rsid w:val="00CC43BE"/>
    <w:rsid w:val="00D201D9"/>
    <w:rsid w:val="00D5269F"/>
    <w:rsid w:val="00D720C1"/>
    <w:rsid w:val="00DA3350"/>
    <w:rsid w:val="00DA7B5C"/>
    <w:rsid w:val="00DB3D2D"/>
    <w:rsid w:val="00DC16F5"/>
    <w:rsid w:val="00DC3BEB"/>
    <w:rsid w:val="00DC5FDB"/>
    <w:rsid w:val="00E03545"/>
    <w:rsid w:val="00E122CB"/>
    <w:rsid w:val="00E21B35"/>
    <w:rsid w:val="00E660CE"/>
    <w:rsid w:val="00E85B88"/>
    <w:rsid w:val="00EC3B04"/>
    <w:rsid w:val="00EC515B"/>
    <w:rsid w:val="00EC734E"/>
    <w:rsid w:val="00ED3782"/>
    <w:rsid w:val="00ED50AE"/>
    <w:rsid w:val="00F11D23"/>
    <w:rsid w:val="00F523DD"/>
    <w:rsid w:val="00F97FBD"/>
    <w:rsid w:val="00FC2AFC"/>
    <w:rsid w:val="00FE3642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8B2755C"/>
  <w15:chartTrackingRefBased/>
  <w15:docId w15:val="{0EA38EDF-3B89-429E-9BF5-A793B7EE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6873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2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158">
                      <w:marLeft w:val="0"/>
                      <w:marRight w:val="0"/>
                      <w:marTop w:val="8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7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8147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4983">
                              <w:marLeft w:val="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8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9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9136">
                  <w:marLeft w:val="180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12730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225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0142">
                          <w:marLeft w:val="0"/>
                          <w:marRight w:val="0"/>
                          <w:marTop w:val="8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9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7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96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3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335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48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53839">
                          <w:marLeft w:val="180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2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2004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35112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8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784644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8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4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hyperlink" Target="http://www.funzionepubblica.gov.it/" TargetMode="Externa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verno.it/" TargetMode="Externa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hyperlink" Target="http://2017.perlapa.gov.it/" TargetMode="External"/><Relationship Id="rId40" Type="http://schemas.openxmlformats.org/officeDocument/2006/relationships/hyperlink" Target="http://2017.perlapa.gov.it/web/guest/rilevazione-assenze" TargetMode="External"/><Relationship Id="rId5" Type="http://schemas.openxmlformats.org/officeDocument/2006/relationships/hyperlink" Target="http://2017.perlapa.gov.it/web/guest/rilevazione-assenze" TargetMode="Externa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hyperlink" Target="http://www.governo.it/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hyperlink" Target="http://2017.perlapa.gov.it/web/guest/rilevazione-assenze" TargetMode="Externa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Tombolesi Cristina</dc:creator>
  <cp:keywords/>
  <dc:description/>
  <cp:lastModifiedBy>ilaria demaria</cp:lastModifiedBy>
  <cp:revision>10</cp:revision>
  <dcterms:created xsi:type="dcterms:W3CDTF">2022-04-15T08:01:00Z</dcterms:created>
  <dcterms:modified xsi:type="dcterms:W3CDTF">2022-04-21T07:52:00Z</dcterms:modified>
</cp:coreProperties>
</file>