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056A9" w14:textId="77777777" w:rsidR="00C16DAE" w:rsidRPr="00C16DAE" w:rsidRDefault="00B647EB" w:rsidP="00C16DAE">
      <w:pPr>
        <w:shd w:val="clear" w:color="auto" w:fill="444E57"/>
        <w:spacing w:after="0" w:line="240" w:lineRule="auto"/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</w:pPr>
      <w:hyperlink r:id="rId4" w:anchor="loginSection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alla login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  <w:hyperlink r:id="rId5" w:anchor="content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19"/>
            <w:szCs w:val="19"/>
            <w:lang w:eastAsia="it-IT"/>
          </w:rPr>
          <w:t>Vai ai contenuti</w:t>
        </w:r>
      </w:hyperlink>
      <w:r w:rsidR="00C16DAE" w:rsidRPr="00C16DAE">
        <w:rPr>
          <w:rFonts w:ascii="Titillium Web" w:eastAsia="Times New Roman" w:hAnsi="Titillium Web" w:cs="Helvetica"/>
          <w:vanish/>
          <w:color w:val="FFFFFF"/>
          <w:sz w:val="19"/>
          <w:szCs w:val="19"/>
          <w:u w:val="single"/>
          <w:lang w:eastAsia="it-IT"/>
        </w:rPr>
        <w:t xml:space="preserve"> </w:t>
      </w:r>
    </w:p>
    <w:p w14:paraId="144983BD" w14:textId="77777777" w:rsidR="00C16DAE" w:rsidRPr="00C16DAE" w:rsidRDefault="00B647EB" w:rsidP="00C16DAE">
      <w:pPr>
        <w:shd w:val="clear" w:color="auto" w:fill="00264D"/>
        <w:spacing w:after="188" w:line="240" w:lineRule="auto"/>
        <w:rPr>
          <w:rFonts w:ascii="Titillium Web" w:eastAsia="Times New Roman" w:hAnsi="Titillium Web" w:cs="Helvetica"/>
          <w:vanish/>
          <w:color w:val="FFFFFF"/>
          <w:spacing w:val="2"/>
          <w:sz w:val="29"/>
          <w:szCs w:val="29"/>
          <w:lang w:eastAsia="it-IT"/>
        </w:rPr>
      </w:pPr>
      <w:hyperlink r:id="rId6" w:tooltip="Sito della Presidenza del Consiglio dei Ministri" w:history="1">
        <w:r w:rsidR="00C16DAE" w:rsidRPr="00C16DAE">
          <w:rPr>
            <w:rFonts w:ascii="Titillium Web" w:eastAsia="Times New Roman" w:hAnsi="Titillium Web" w:cs="Helvetica"/>
            <w:b/>
            <w:bCs/>
            <w:vanish/>
            <w:color w:val="000000"/>
            <w:spacing w:val="2"/>
            <w:sz w:val="29"/>
            <w:szCs w:val="29"/>
            <w:lang w:eastAsia="it-IT"/>
          </w:rPr>
          <w:t>Governo Italiano</w:t>
        </w:r>
        <w:r w:rsidR="00C16DAE" w:rsidRPr="00C16DAE">
          <w:rPr>
            <w:rFonts w:ascii="Titillium Web" w:eastAsia="Times New Roman" w:hAnsi="Titillium Web" w:cs="Helvetica"/>
            <w:vanish/>
            <w:color w:val="000000"/>
            <w:spacing w:val="2"/>
            <w:sz w:val="29"/>
            <w:szCs w:val="29"/>
            <w:lang w:eastAsia="it-IT"/>
          </w:rPr>
          <w:t xml:space="preserve"> Presidenza del Consiglio dei Ministri</w:t>
        </w:r>
      </w:hyperlink>
    </w:p>
    <w:p w14:paraId="0051A615" w14:textId="6D080EFA" w:rsidR="00C16DAE" w:rsidRPr="00C16DAE" w:rsidRDefault="00745072" w:rsidP="00C16DAE">
      <w:pPr>
        <w:shd w:val="clear" w:color="auto" w:fill="FFFFFF"/>
        <w:spacing w:before="30" w:after="75" w:line="240" w:lineRule="auto"/>
        <w:outlineLvl w:val="1"/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</w:pPr>
      <w:r>
        <w:rPr>
          <w:rFonts w:ascii="inherit" w:eastAsia="Times New Roman" w:hAnsi="inherit" w:cs="Helvetica"/>
          <w:b/>
          <w:bCs/>
          <w:color w:val="FFFFFF"/>
          <w:spacing w:val="-2"/>
          <w:kern w:val="36"/>
          <w:lang w:eastAsia="it-IT"/>
        </w:rPr>
        <w:t>s</w:t>
      </w:r>
    </w:p>
    <w:p w14:paraId="575D1858" w14:textId="22F5C634" w:rsidR="00C16DAE" w:rsidRPr="00C16DAE" w:rsidRDefault="00B370CD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>
        <w:rPr>
          <w:rFonts w:ascii="Titillium Web" w:eastAsia="Times New Roman" w:hAnsi="Titillium Web" w:cs="Helvetica"/>
          <w:noProof/>
          <w:color w:val="333333"/>
          <w:sz w:val="24"/>
          <w:szCs w:val="24"/>
          <w:lang w:eastAsia="it-IT"/>
        </w:rPr>
        <w:drawing>
          <wp:inline distT="0" distB="0" distL="0" distR="0" wp14:anchorId="02D1A642" wp14:editId="7935E096">
            <wp:extent cx="6120765" cy="198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6DAE"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221988B4" w14:textId="77777777" w:rsidR="00B370CD" w:rsidRDefault="00B370CD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p w14:paraId="6ED9E13E" w14:textId="3EC237F3" w:rsidR="00745072" w:rsidRDefault="00C16DAE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Monitoraggio assenze per </w:t>
      </w:r>
      <w:r w:rsidR="0055325D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gennaio</w:t>
      </w:r>
    </w:p>
    <w:p w14:paraId="410215DB" w14:textId="06EB7569" w:rsidR="00E03545" w:rsidRDefault="0055325D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2022</w:t>
      </w:r>
    </w:p>
    <w:p w14:paraId="297BCD75" w14:textId="1290D81B" w:rsidR="00C16DAE" w:rsidRDefault="00EC515B" w:rsidP="00E03545">
      <w:pPr>
        <w:spacing w:after="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  <w:r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>Dati</w:t>
      </w:r>
      <w:r w:rsidR="00E03545"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  <w:t xml:space="preserve"> sintetici</w:t>
      </w:r>
    </w:p>
    <w:p w14:paraId="0D85DBA5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000000"/>
          <w:sz w:val="43"/>
          <w:szCs w:val="43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ssenze e procedimenti disciplinari avviati - dato aggregato"/>
      </w:tblPr>
      <w:tblGrid>
        <w:gridCol w:w="6683"/>
        <w:gridCol w:w="1470"/>
        <w:gridCol w:w="1485"/>
      </w:tblGrid>
      <w:tr w:rsidR="00C16DAE" w:rsidRPr="00C16DAE" w14:paraId="77602704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101F" w14:textId="77777777" w:rsidR="00C16DAE" w:rsidRPr="005570EE" w:rsidRDefault="00C16DAE" w:rsidP="00C16DAE">
            <w:pPr>
              <w:rPr>
                <w:rFonts w:ascii="Titillium Web" w:eastAsia="Times New Roman" w:hAnsi="Titillium Web" w:cs="Helvetica"/>
                <w:b/>
                <w:bCs/>
                <w:color w:val="004C9E"/>
                <w:sz w:val="16"/>
                <w:szCs w:val="16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  <w:br w:type="textWrapping" w:clear="all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487" w14:textId="252E5F8E" w:rsidR="00C16DAE" w:rsidRPr="005570EE" w:rsidRDefault="0055325D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Gennaio 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08522" w14:textId="3A406CF9" w:rsidR="00C16DAE" w:rsidRPr="005570EE" w:rsidRDefault="0055325D" w:rsidP="00E660C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tillium Web" w:eastAsia="Times New Roman" w:hAnsi="Titillium Web" w:cs="Helvetica"/>
                <w:b/>
                <w:bCs/>
                <w:color w:val="333333"/>
                <w:sz w:val="20"/>
                <w:szCs w:val="20"/>
                <w:lang w:eastAsia="it-IT"/>
              </w:rPr>
              <w:t>Gennaio 2021</w:t>
            </w:r>
          </w:p>
        </w:tc>
      </w:tr>
      <w:tr w:rsidR="00C16DAE" w:rsidRPr="00C16DAE" w14:paraId="5F8680F3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5B119" w14:textId="77777777" w:rsidR="00C16DAE" w:rsidRPr="00C16DAE" w:rsidRDefault="00C16DAE" w:rsidP="00C16DAE">
            <w:pPr>
              <w:spacing w:after="42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A. Totale delle assenze per malattie </w:t>
            </w:r>
          </w:p>
          <w:p w14:paraId="4127F49B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di assenza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a tempo determinato e indeterminato) rilevato nel mese, calcolato facendo riferimento alle sole giornate lavorative.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C70F" w14:textId="42216162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3932E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8" o:title=""/>
                </v:shape>
                <w:control r:id="rId9" w:name="DefaultOcxName" w:shapeid="_x0000_i10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461BF" w14:textId="4FCBFBAC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606404D5">
                <v:shape id="_x0000_i1221" type="#_x0000_t75" style="width:1in;height:18pt" o:ole="">
                  <v:imagedata r:id="rId10" o:title=""/>
                </v:shape>
                <w:control r:id="rId11" w:name="DefaultOcxName1" w:shapeid="_x0000_i1221"/>
              </w:object>
            </w:r>
          </w:p>
        </w:tc>
      </w:tr>
      <w:tr w:rsidR="00C16DAE" w:rsidRPr="00C16DAE" w14:paraId="3C4D6E3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DCB1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B. Eventi di assenza per malattia superiore a 10 giorni </w:t>
            </w:r>
          </w:p>
          <w:p w14:paraId="1CD85A2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periodi di assenza per malattia co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ntinuativa superiori a 10 gg.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in presenza di eventi che si s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viluppano a cavallo su due o più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 xml:space="preserve"> mesi, l'evento va indicato nell'ultimo mese). Le giornate di assenza per malattia di cui si compone l'evento NON devono essere inserite nella casella A.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75A91" w14:textId="3E2ED11B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81A3671">
                <v:shape id="_x0000_i1060" type="#_x0000_t75" style="width:1in;height:18pt" o:ole="">
                  <v:imagedata r:id="rId12" o:title=""/>
                </v:shape>
                <w:control r:id="rId13" w:name="DefaultOcxName2" w:shapeid="_x0000_i10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A42B2" w14:textId="65DD033F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20A78FCE">
                <v:shape id="_x0000_i1063" type="#_x0000_t75" style="width:1in;height:18pt" o:ole="">
                  <v:imagedata r:id="rId14" o:title=""/>
                </v:shape>
                <w:control r:id="rId15" w:name="DefaultOcxName3" w:shapeid="_x0000_i1063"/>
              </w:object>
            </w:r>
          </w:p>
        </w:tc>
      </w:tr>
      <w:tr w:rsidR="00C16DAE" w:rsidRPr="00C16DAE" w14:paraId="346A1F72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461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C. Totale delle assenze per altri motivi </w:t>
            </w:r>
          </w:p>
          <w:p w14:paraId="30AFC1D7" w14:textId="77777777" w:rsidR="00C16DAE" w:rsidRPr="00C16DAE" w:rsidRDefault="00C16DAE" w:rsidP="0012649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complessivo di giorni retribuiti di assenza per altri motivi del personale non dirigenziale a tempo indeterminato e di tu</w:t>
            </w:r>
            <w:r w:rsidR="0012649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tto il personale dirigenziale (</w:t>
            </w: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a tempo determinato e indeterminato), calcolato con riferimento alle sole giornate lavorative. Sono comprese le assenze per maternità retribuite e le assenze dovute a permessi di cui alla L.104/92 solo quando usufruiti per l'intera giornata. Sono escluse le ferie ed i permessi ad ore.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C14A5" w14:textId="777333C2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574483F6">
                <v:shape id="_x0000_i1066" type="#_x0000_t75" style="width:1in;height:18pt" o:ole="">
                  <v:imagedata r:id="rId16" o:title=""/>
                </v:shape>
                <w:control r:id="rId17" w:name="DefaultOcxName4" w:shapeid="_x0000_i10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E47C" w14:textId="288DC42A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7A87620F">
                <v:shape id="_x0000_i1069" type="#_x0000_t75" style="width:1in;height:18pt" o:ole="">
                  <v:imagedata r:id="rId18" o:title=""/>
                </v:shape>
                <w:control r:id="rId19" w:name="DefaultOcxName5" w:shapeid="_x0000_i1069"/>
              </w:object>
            </w:r>
          </w:p>
        </w:tc>
      </w:tr>
      <w:tr w:rsidR="00C16DAE" w:rsidRPr="00C16DAE" w14:paraId="4132F66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2D4E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C1 - di cui: Totale delle assenze dovute a permessi ex legge 104/92 </w:t>
            </w:r>
          </w:p>
          <w:p w14:paraId="06E801D3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lastRenderedPageBreak/>
              <w:t>Numero complessivo di giorni di assenza dovuti a permessi di cui alla L. 104/92, solo quando usufruiti per l'intera giornata.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B221" w14:textId="7D160743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lastRenderedPageBreak/>
              <w:object w:dxaOrig="1440" w:dyaOrig="1440" w14:anchorId="36C9D6A8">
                <v:shape id="_x0000_i1072" type="#_x0000_t75" style="width:1in;height:18pt" o:ole="">
                  <v:imagedata r:id="rId20" o:title=""/>
                </v:shape>
                <w:control r:id="rId21" w:name="DefaultOcxName6" w:shapeid="_x0000_i107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517E" w14:textId="3806D7F4" w:rsidR="00C16DAE" w:rsidRPr="00043D98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8"/>
                <w:szCs w:val="28"/>
                <w:lang w:eastAsia="it-IT"/>
              </w:rPr>
            </w:pPr>
            <w:r w:rsidRPr="00043D98">
              <w:rPr>
                <w:rFonts w:ascii="Titillium Web" w:eastAsia="Times New Roman" w:hAnsi="Titillium Web" w:cs="Helvetica"/>
                <w:color w:val="333333"/>
                <w:sz w:val="28"/>
                <w:szCs w:val="28"/>
              </w:rPr>
              <w:object w:dxaOrig="1440" w:dyaOrig="1440" w14:anchorId="783CB296">
                <v:shape id="_x0000_i1075" type="#_x0000_t75" style="width:1in;height:18pt" o:ole="">
                  <v:imagedata r:id="rId22" o:title=""/>
                </v:shape>
                <w:control r:id="rId23" w:name="DefaultOcxName7" w:shapeid="_x0000_i1075"/>
              </w:object>
            </w:r>
          </w:p>
        </w:tc>
      </w:tr>
      <w:tr w:rsidR="00C16DAE" w:rsidRPr="00C16DAE" w14:paraId="3C22ED49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3F75B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D. Numero dipendenti </w:t>
            </w:r>
          </w:p>
          <w:p w14:paraId="0DD54D68" w14:textId="44287B7B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Totale del personale non dirigenziale a tempo indeterminato e di tutto il personale dirigenziale (a tempo determinato e indeterminato) nei ruoli dell'Amministrazione all'inizio del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73F1C" w14:textId="097E3BCB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B9C103D">
                <v:shape id="_x0000_i1078" type="#_x0000_t75" style="width:1in;height:18pt" o:ole="">
                  <v:imagedata r:id="rId24" o:title=""/>
                </v:shape>
                <w:control r:id="rId25" w:name="DefaultOcxName8" w:shapeid="_x0000_i10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CF514" w14:textId="04E154DD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D27D5CB">
                <v:shape id="_x0000_i1081" type="#_x0000_t75" style="width:1in;height:18pt" o:ole="">
                  <v:imagedata r:id="rId26" o:title=""/>
                </v:shape>
                <w:control r:id="rId27" w:name="DefaultOcxName9" w:shapeid="_x0000_i1081"/>
              </w:object>
            </w:r>
          </w:p>
        </w:tc>
      </w:tr>
      <w:tr w:rsidR="00C16DAE" w:rsidRPr="00C16DAE" w14:paraId="2809736C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EE73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E. Procedimenti disciplinari avviati relativi alle assenze </w:t>
            </w:r>
          </w:p>
          <w:p w14:paraId="4FC97EF4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dei procedimenti avviati nel mese.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33EE" w14:textId="2D03EA6C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C419A39">
                <v:shape id="_x0000_i1084" type="#_x0000_t75" style="width:1in;height:18pt" o:ole="">
                  <v:imagedata r:id="rId28" o:title=""/>
                </v:shape>
                <w:control r:id="rId29" w:name="DefaultOcxName10" w:shapeid="_x0000_i10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CEA68" w14:textId="59A2752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3BC64F81">
                <v:shape id="_x0000_i1087" type="#_x0000_t75" style="width:1in;height:18pt" o:ole="">
                  <v:imagedata r:id="rId30" o:title=""/>
                </v:shape>
                <w:control r:id="rId31" w:name="DefaultOcxName11" w:shapeid="_x0000_i1087"/>
              </w:object>
            </w:r>
          </w:p>
        </w:tc>
      </w:tr>
      <w:tr w:rsidR="00C16DAE" w:rsidRPr="00C16DAE" w14:paraId="76920BDB" w14:textId="77777777" w:rsidTr="00C16DA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BCF8" w14:textId="7777777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  <w:t xml:space="preserve">F. Procedimenti disciplinari relativi alle assenze conclusi con sanzioni </w:t>
            </w:r>
          </w:p>
          <w:p w14:paraId="77673B8D" w14:textId="77777777" w:rsidR="00C16DAE" w:rsidRPr="00C16DAE" w:rsidRDefault="00C16DAE" w:rsidP="00C16DAE">
            <w:pPr>
              <w:spacing w:after="188" w:line="240" w:lineRule="auto"/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i/>
                <w:iCs/>
                <w:color w:val="333333"/>
                <w:spacing w:val="2"/>
                <w:sz w:val="24"/>
                <w:szCs w:val="24"/>
                <w:lang w:eastAsia="it-IT"/>
              </w:rPr>
              <w:t>Numero di sanzioni disciplinari irrogate nel mese in relazione a procedimenti relativi ad assenze dal servizio.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478AC" w14:textId="20587892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41E4D6B0">
                <v:shape id="_x0000_i1090" type="#_x0000_t75" style="width:1in;height:18pt" o:ole="">
                  <v:imagedata r:id="rId32" o:title=""/>
                </v:shape>
                <w:control r:id="rId33" w:name="DefaultOcxName12" w:shapeid="_x0000_i10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64069" w14:textId="00B086F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  <w:r w:rsidRPr="00C16DAE">
              <w:rPr>
                <w:rFonts w:ascii="Titillium Web" w:eastAsia="Times New Roman" w:hAnsi="Titillium Web" w:cs="Helvetica"/>
                <w:color w:val="333333"/>
                <w:sz w:val="24"/>
                <w:szCs w:val="24"/>
              </w:rPr>
              <w:object w:dxaOrig="1440" w:dyaOrig="1440" w14:anchorId="030CFB14">
                <v:shape id="_x0000_i1093" type="#_x0000_t75" style="width:1in;height:18pt" o:ole="">
                  <v:imagedata r:id="rId34" o:title=""/>
                </v:shape>
                <w:control r:id="rId35" w:name="DefaultOcxName13" w:shapeid="_x0000_i1093"/>
              </w:object>
            </w:r>
          </w:p>
        </w:tc>
      </w:tr>
      <w:tr w:rsidR="00C16DAE" w:rsidRPr="00C16DAE" w14:paraId="0A98520A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B962" w14:textId="7EF5C858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C2EF" w14:textId="10AE04AB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3EF6" w14:textId="1A282206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73087A8C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07FA" w14:textId="3C76B6B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BA18" w14:textId="04333B4D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EE00" w14:textId="24FFCB9E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  <w:tr w:rsidR="00C16DAE" w:rsidRPr="00C16DAE" w14:paraId="20377FE0" w14:textId="77777777" w:rsidTr="00064BF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3EAD" w14:textId="25C1DDA7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4964" w14:textId="588C9F23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534E" w14:textId="05D85DA1" w:rsidR="00C16DAE" w:rsidRPr="00C16DAE" w:rsidRDefault="00C16DAE" w:rsidP="00C16DAE">
            <w:pPr>
              <w:spacing w:after="0" w:line="240" w:lineRule="auto"/>
              <w:rPr>
                <w:rFonts w:ascii="Titillium Web" w:eastAsia="Times New Roman" w:hAnsi="Titillium Web" w:cs="Helvetica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0C31721F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  <w:br w:type="textWrapping" w:clear="all"/>
      </w:r>
    </w:p>
    <w:p w14:paraId="5FF3B626" w14:textId="77777777" w:rsidR="00C16DAE" w:rsidRPr="00C16DAE" w:rsidRDefault="00C16DAE" w:rsidP="00C16D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39FB410" w14:textId="77777777" w:rsidR="00C16DAE" w:rsidRPr="00C16DAE" w:rsidRDefault="00C16DAE" w:rsidP="00C16DA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16DA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40CB7EA3" w14:textId="77777777" w:rsidR="00C16DAE" w:rsidRPr="00C16DAE" w:rsidRDefault="00B647EB" w:rsidP="00C16DAE">
      <w:pPr>
        <w:spacing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hyperlink r:id="rId36" w:tooltip="Sito del Governo Italiano" w:history="1">
        <w:r w:rsidR="00C16DAE" w:rsidRPr="00C16DAE">
          <w:rPr>
            <w:rFonts w:ascii="inherit" w:eastAsia="Times New Roman" w:hAnsi="inherit" w:cs="Helvetica"/>
            <w:b/>
            <w:bCs/>
            <w:vanish/>
            <w:color w:val="000000"/>
            <w:spacing w:val="2"/>
            <w:sz w:val="32"/>
            <w:szCs w:val="32"/>
            <w:lang w:eastAsia="it-IT"/>
          </w:rPr>
          <w:t>Governo Italiano</w:t>
        </w:r>
        <w:r w:rsidR="00C16DAE" w:rsidRPr="00C16DAE">
          <w:rPr>
            <w:rFonts w:ascii="inherit" w:eastAsia="Times New Roman" w:hAnsi="inherit" w:cs="Helvetica"/>
            <w:vanish/>
            <w:color w:val="000000"/>
            <w:spacing w:val="2"/>
            <w:sz w:val="32"/>
            <w:szCs w:val="32"/>
            <w:lang w:eastAsia="it-IT"/>
          </w:rPr>
          <w:t xml:space="preserve"> Presidenza del Consiglio dei Ministri </w:t>
        </w:r>
      </w:hyperlink>
    </w:p>
    <w:p w14:paraId="59C60F3A" w14:textId="77777777" w:rsidR="00C16DAE" w:rsidRPr="00C16DAE" w:rsidRDefault="00C16DAE" w:rsidP="00C16DAE">
      <w:pPr>
        <w:spacing w:after="0" w:line="240" w:lineRule="auto"/>
        <w:rPr>
          <w:rFonts w:ascii="Titillium Web" w:eastAsia="Times New Roman" w:hAnsi="Titillium Web" w:cs="Helvetica"/>
          <w:color w:val="333333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noProof/>
          <w:color w:val="000000"/>
          <w:sz w:val="24"/>
          <w:szCs w:val="24"/>
          <w:lang w:eastAsia="it-IT"/>
        </w:rPr>
        <w:drawing>
          <wp:inline distT="0" distB="0" distL="0" distR="0" wp14:anchorId="74FBF086" wp14:editId="00473680">
            <wp:extent cx="1288415" cy="1428115"/>
            <wp:effectExtent l="0" t="0" r="6985" b="635"/>
            <wp:docPr id="37" name="Immagine 37" descr="Logo Governo Italiano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Governo Italiano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1E430002" w14:textId="77777777" w:rsidR="00C16DAE" w:rsidRPr="00C16DAE" w:rsidRDefault="00B647EB" w:rsidP="00C16DAE">
      <w:pPr>
        <w:spacing w:after="600" w:line="240" w:lineRule="auto"/>
        <w:rPr>
          <w:rFonts w:ascii="inherit" w:eastAsia="Times New Roman" w:hAnsi="inherit" w:cs="Helvetica"/>
          <w:b/>
          <w:bCs/>
          <w:vanish/>
          <w:color w:val="000000"/>
          <w:spacing w:val="-2"/>
          <w:sz w:val="80"/>
          <w:szCs w:val="80"/>
          <w:lang w:eastAsia="it-IT"/>
        </w:rPr>
      </w:pPr>
      <w:r>
        <w:rPr>
          <w:vanish/>
        </w:rPr>
        <w:fldChar w:fldCharType="begin"/>
      </w:r>
      <w:r>
        <w:rPr>
          <w:vanish/>
        </w:rPr>
        <w:instrText xml:space="preserve"> HYPERLINK "http://www.funzionepubblica.gov.it/" \o "Ministro per la Semplificazione e la Pubblica Amministrazione" </w:instrText>
      </w:r>
      <w:r>
        <w:rPr>
          <w:vanish/>
        </w:rPr>
        <w:fldChar w:fldCharType="separate"/>
      </w:r>
      <w:r w:rsidR="00C16DAE" w:rsidRPr="00C16DAE">
        <w:rPr>
          <w:rFonts w:ascii="inherit" w:eastAsia="Times New Roman" w:hAnsi="inherit" w:cs="Helvetica"/>
          <w:b/>
          <w:bCs/>
          <w:vanish/>
          <w:color w:val="FFFFFF"/>
          <w:spacing w:val="-2"/>
          <w:sz w:val="80"/>
          <w:szCs w:val="80"/>
          <w:lang w:eastAsia="it-IT"/>
        </w:rPr>
        <w:t xml:space="preserve">Ministro per la Semplificazione </w:t>
      </w:r>
      <w:r w:rsidR="00C16DAE" w:rsidRPr="00C16DAE">
        <w:rPr>
          <w:rFonts w:ascii="inherit" w:eastAsia="Times New Roman" w:hAnsi="inherit" w:cs="Helvetica"/>
          <w:b/>
          <w:bCs/>
          <w:vanish/>
          <w:color w:val="FFFFFF"/>
          <w:spacing w:val="-2"/>
          <w:sz w:val="80"/>
          <w:szCs w:val="80"/>
          <w:lang w:eastAsia="it-IT"/>
        </w:rPr>
        <w:br/>
        <w:t>e la Pubblica Amministrazione</w:t>
      </w:r>
      <w:r>
        <w:rPr>
          <w:rFonts w:ascii="inherit" w:eastAsia="Times New Roman" w:hAnsi="inherit" w:cs="Helvetica"/>
          <w:b/>
          <w:bCs/>
          <w:vanish/>
          <w:color w:val="FFFFFF"/>
          <w:spacing w:val="-2"/>
          <w:sz w:val="80"/>
          <w:szCs w:val="80"/>
          <w:lang w:eastAsia="it-IT"/>
        </w:rPr>
        <w:fldChar w:fldCharType="end"/>
      </w:r>
    </w:p>
    <w:p w14:paraId="0B6421B3" w14:textId="77777777" w:rsidR="00C16DAE" w:rsidRPr="00C16DAE" w:rsidRDefault="00C16DAE" w:rsidP="00C16DAE">
      <w:pPr>
        <w:spacing w:after="0" w:line="240" w:lineRule="auto"/>
        <w:outlineLvl w:val="2"/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</w:pPr>
      <w:r w:rsidRPr="00C16DAE">
        <w:rPr>
          <w:rFonts w:ascii="inherit" w:eastAsia="Times New Roman" w:hAnsi="inherit" w:cs="Helvetica"/>
          <w:b/>
          <w:bCs/>
          <w:vanish/>
          <w:color w:val="000000"/>
          <w:sz w:val="43"/>
          <w:szCs w:val="43"/>
          <w:lang w:eastAsia="it-IT"/>
        </w:rPr>
        <w:t>Contatti</w:t>
      </w:r>
    </w:p>
    <w:p w14:paraId="1B6D82C2" w14:textId="77777777" w:rsidR="00C16DAE" w:rsidRPr="00C16DAE" w:rsidRDefault="00C16DAE" w:rsidP="00C16DAE">
      <w:pPr>
        <w:spacing w:after="375" w:line="240" w:lineRule="auto"/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</w:pPr>
      <w:r w:rsidRPr="00C16DAE">
        <w:rPr>
          <w:rFonts w:ascii="inherit" w:eastAsia="Times New Roman" w:hAnsi="inherit" w:cs="Helvetica"/>
          <w:vanish/>
          <w:color w:val="000000"/>
          <w:spacing w:val="2"/>
          <w:sz w:val="32"/>
          <w:szCs w:val="32"/>
          <w:lang w:eastAsia="it-IT"/>
        </w:rPr>
        <w:t>PerlaPA</w:t>
      </w:r>
    </w:p>
    <w:p w14:paraId="533DFED4" w14:textId="77777777" w:rsidR="00C16DAE" w:rsidRPr="00C16DAE" w:rsidRDefault="00C16DAE" w:rsidP="00C16DAE">
      <w:pPr>
        <w:spacing w:after="188" w:line="240" w:lineRule="auto"/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</w:pPr>
      <w:r w:rsidRPr="00C16DAE">
        <w:rPr>
          <w:rFonts w:ascii="Titillium Web" w:eastAsia="Times New Roman" w:hAnsi="Titillium Web" w:cs="Helvetica"/>
          <w:vanish/>
          <w:color w:val="333333"/>
          <w:spacing w:val="2"/>
          <w:sz w:val="24"/>
          <w:szCs w:val="24"/>
          <w:lang w:eastAsia="it-IT"/>
        </w:rPr>
        <w:t>Numero unico 06 82888718 Email: perlapa@governo.it</w:t>
      </w:r>
    </w:p>
    <w:p w14:paraId="0C65E741" w14:textId="77777777" w:rsidR="00C16DAE" w:rsidRPr="00C16DAE" w:rsidRDefault="00B647EB" w:rsidP="00C16DAE">
      <w:pPr>
        <w:spacing w:after="0" w:line="240" w:lineRule="auto"/>
        <w:rPr>
          <w:rFonts w:ascii="Titillium Web" w:eastAsia="Times New Roman" w:hAnsi="Titillium Web" w:cs="Helvetica"/>
          <w:vanish/>
          <w:color w:val="333333"/>
          <w:sz w:val="24"/>
          <w:szCs w:val="24"/>
          <w:lang w:eastAsia="it-IT"/>
        </w:rPr>
      </w:pPr>
      <w:hyperlink r:id="rId39" w:anchor="body" w:history="1">
        <w:r w:rsidR="00C16DAE" w:rsidRPr="00C16DAE">
          <w:rPr>
            <w:rFonts w:ascii="Titillium Web" w:eastAsia="Times New Roman" w:hAnsi="Titillium Web" w:cs="Helvetica"/>
            <w:vanish/>
            <w:color w:val="000000"/>
            <w:sz w:val="45"/>
            <w:szCs w:val="45"/>
            <w:bdr w:val="single" w:sz="12" w:space="0" w:color="FFFFFF" w:frame="1"/>
            <w:shd w:val="clear" w:color="auto" w:fill="00264D"/>
            <w:lang w:eastAsia="it-IT"/>
          </w:rPr>
          <w:t>^</w:t>
        </w:r>
      </w:hyperlink>
    </w:p>
    <w:p w14:paraId="3C657318" w14:textId="77777777" w:rsidR="0055464A" w:rsidRDefault="0055464A" w:rsidP="00C16DAE"/>
    <w:sectPr w:rsidR="00554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AE"/>
    <w:rsid w:val="00011AF0"/>
    <w:rsid w:val="00043D98"/>
    <w:rsid w:val="000556AD"/>
    <w:rsid w:val="00060621"/>
    <w:rsid w:val="00064BFF"/>
    <w:rsid w:val="000925AE"/>
    <w:rsid w:val="000D3D88"/>
    <w:rsid w:val="000D7419"/>
    <w:rsid w:val="000F46C7"/>
    <w:rsid w:val="00117FE0"/>
    <w:rsid w:val="0012649E"/>
    <w:rsid w:val="00145B4C"/>
    <w:rsid w:val="00150FD1"/>
    <w:rsid w:val="00164ACE"/>
    <w:rsid w:val="0018501C"/>
    <w:rsid w:val="001F27EC"/>
    <w:rsid w:val="00221D01"/>
    <w:rsid w:val="00271A8A"/>
    <w:rsid w:val="003341F3"/>
    <w:rsid w:val="0036651A"/>
    <w:rsid w:val="00375529"/>
    <w:rsid w:val="0037791E"/>
    <w:rsid w:val="00385D25"/>
    <w:rsid w:val="003D53A1"/>
    <w:rsid w:val="003E16B9"/>
    <w:rsid w:val="003E326C"/>
    <w:rsid w:val="0041676E"/>
    <w:rsid w:val="00416DB6"/>
    <w:rsid w:val="00455A39"/>
    <w:rsid w:val="00460CA3"/>
    <w:rsid w:val="004B631C"/>
    <w:rsid w:val="004C5008"/>
    <w:rsid w:val="004F7A8B"/>
    <w:rsid w:val="00515650"/>
    <w:rsid w:val="00532BEC"/>
    <w:rsid w:val="0055325D"/>
    <w:rsid w:val="0055464A"/>
    <w:rsid w:val="00556248"/>
    <w:rsid w:val="005570EE"/>
    <w:rsid w:val="00582F8E"/>
    <w:rsid w:val="005934AB"/>
    <w:rsid w:val="005B20DA"/>
    <w:rsid w:val="005B75ED"/>
    <w:rsid w:val="005D4A5E"/>
    <w:rsid w:val="005E752C"/>
    <w:rsid w:val="0061437A"/>
    <w:rsid w:val="0061735E"/>
    <w:rsid w:val="00643C23"/>
    <w:rsid w:val="006721E6"/>
    <w:rsid w:val="006F503C"/>
    <w:rsid w:val="00705FD4"/>
    <w:rsid w:val="00707F6C"/>
    <w:rsid w:val="00745072"/>
    <w:rsid w:val="00747DE2"/>
    <w:rsid w:val="00756FFE"/>
    <w:rsid w:val="0077218C"/>
    <w:rsid w:val="007A4645"/>
    <w:rsid w:val="007F2515"/>
    <w:rsid w:val="008415A8"/>
    <w:rsid w:val="008B0C3B"/>
    <w:rsid w:val="008F2180"/>
    <w:rsid w:val="008F3132"/>
    <w:rsid w:val="009604C1"/>
    <w:rsid w:val="00963620"/>
    <w:rsid w:val="009B003E"/>
    <w:rsid w:val="009E49F1"/>
    <w:rsid w:val="009F2B76"/>
    <w:rsid w:val="00A34092"/>
    <w:rsid w:val="00A53A49"/>
    <w:rsid w:val="00A72CCD"/>
    <w:rsid w:val="00AC70EA"/>
    <w:rsid w:val="00AD3C2D"/>
    <w:rsid w:val="00AE77DC"/>
    <w:rsid w:val="00B06624"/>
    <w:rsid w:val="00B2067F"/>
    <w:rsid w:val="00B370CD"/>
    <w:rsid w:val="00B43FCB"/>
    <w:rsid w:val="00B6407F"/>
    <w:rsid w:val="00B647EB"/>
    <w:rsid w:val="00B81D99"/>
    <w:rsid w:val="00BA2C40"/>
    <w:rsid w:val="00BE3120"/>
    <w:rsid w:val="00C02DF4"/>
    <w:rsid w:val="00C16DAE"/>
    <w:rsid w:val="00C208CF"/>
    <w:rsid w:val="00C23ADE"/>
    <w:rsid w:val="00C3568B"/>
    <w:rsid w:val="00C9594E"/>
    <w:rsid w:val="00CC43BE"/>
    <w:rsid w:val="00D201D9"/>
    <w:rsid w:val="00D5269F"/>
    <w:rsid w:val="00D720C1"/>
    <w:rsid w:val="00DA3350"/>
    <w:rsid w:val="00DA7B5C"/>
    <w:rsid w:val="00DB3D2D"/>
    <w:rsid w:val="00DC16F5"/>
    <w:rsid w:val="00DC3BEB"/>
    <w:rsid w:val="00DC5FDB"/>
    <w:rsid w:val="00E03545"/>
    <w:rsid w:val="00E21B35"/>
    <w:rsid w:val="00E660CE"/>
    <w:rsid w:val="00E85B88"/>
    <w:rsid w:val="00EC3B04"/>
    <w:rsid w:val="00EC515B"/>
    <w:rsid w:val="00EC734E"/>
    <w:rsid w:val="00ED3782"/>
    <w:rsid w:val="00ED50AE"/>
    <w:rsid w:val="00F11D23"/>
    <w:rsid w:val="00F523DD"/>
    <w:rsid w:val="00F97FBD"/>
    <w:rsid w:val="00FC2AFC"/>
    <w:rsid w:val="00FE3642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8B2755C"/>
  <w15:chartTrackingRefBased/>
  <w15:docId w15:val="{0EA38EDF-3B89-429E-9BF5-A793B7EE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7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158">
                      <w:marLeft w:val="0"/>
                      <w:marRight w:val="0"/>
                      <w:marTop w:val="8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81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4983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9136">
                  <w:marLeft w:val="180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1273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2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142">
                          <w:marLeft w:val="0"/>
                          <w:marRight w:val="0"/>
                          <w:marTop w:val="8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3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8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839">
                          <w:marLeft w:val="180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00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11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784644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yperlink" Target="http://2017.perlapa.gov.it/web/guest/rilevazione-assenze" TargetMode="Externa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erno.it/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http://2017.perlapa.gov.i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2017.perlapa.gov.it/web/guest/rilevazione-assenze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yperlink" Target="http://www.governo.it/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hyperlink" Target="http://2017.perlapa.gov.it/web/guest/rilevazione-assenze" TargetMode="Externa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Tombolesi Cristina</dc:creator>
  <cp:keywords/>
  <dc:description/>
  <cp:lastModifiedBy>ilaria demaria</cp:lastModifiedBy>
  <cp:revision>15</cp:revision>
  <dcterms:created xsi:type="dcterms:W3CDTF">2022-01-24T08:57:00Z</dcterms:created>
  <dcterms:modified xsi:type="dcterms:W3CDTF">2022-02-24T14:40:00Z</dcterms:modified>
</cp:coreProperties>
</file>